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0CD" w:rsidRDefault="00E560CD" w:rsidP="00DC45BB">
      <w:pPr>
        <w:pStyle w:val="Nagwek2"/>
      </w:pPr>
      <w:bookmarkStart w:id="0" w:name="_Toc210821996"/>
    </w:p>
    <w:p w:rsidR="00DC45BB" w:rsidRPr="00F647E1" w:rsidRDefault="00DC45BB" w:rsidP="00DC45BB">
      <w:pPr>
        <w:pStyle w:val="Nagwek2"/>
      </w:pPr>
      <w:r w:rsidRPr="00F647E1">
        <w:t>AGREGAT PRĄDOTWÓRCZY    - 1 KPL .</w:t>
      </w:r>
      <w:bookmarkEnd w:id="0"/>
      <w:r w:rsidRPr="00F647E1">
        <w:br/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2268"/>
        <w:gridCol w:w="7565"/>
      </w:tblGrid>
      <w:tr w:rsidR="00DC45BB" w:rsidRPr="00F647E1" w:rsidTr="004B6BFB">
        <w:trPr>
          <w:trHeight w:val="285"/>
        </w:trPr>
        <w:tc>
          <w:tcPr>
            <w:tcW w:w="516" w:type="dxa"/>
          </w:tcPr>
          <w:p w:rsidR="00DC45BB" w:rsidRPr="00F647E1" w:rsidRDefault="00DC45BB" w:rsidP="004B6BFB">
            <w:pPr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F647E1">
              <w:rPr>
                <w:b/>
                <w:sz w:val="20"/>
                <w:szCs w:val="20"/>
              </w:rPr>
              <w:t>L.P</w:t>
            </w:r>
          </w:p>
        </w:tc>
        <w:tc>
          <w:tcPr>
            <w:tcW w:w="2268" w:type="dxa"/>
            <w:noWrap/>
            <w:vAlign w:val="center"/>
            <w:hideMark/>
          </w:tcPr>
          <w:p w:rsidR="00DC45BB" w:rsidRPr="00F647E1" w:rsidRDefault="00DC45BB" w:rsidP="004B6BFB">
            <w:pPr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F647E1">
              <w:rPr>
                <w:b/>
                <w:sz w:val="20"/>
                <w:szCs w:val="20"/>
              </w:rPr>
              <w:t>Parametr</w:t>
            </w:r>
          </w:p>
        </w:tc>
        <w:tc>
          <w:tcPr>
            <w:tcW w:w="7565" w:type="dxa"/>
            <w:noWrap/>
            <w:vAlign w:val="center"/>
            <w:hideMark/>
          </w:tcPr>
          <w:p w:rsidR="00DC45BB" w:rsidRPr="00F647E1" w:rsidRDefault="00DC45BB" w:rsidP="004B6BFB">
            <w:pPr>
              <w:jc w:val="center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F647E1">
              <w:rPr>
                <w:b/>
                <w:sz w:val="20"/>
                <w:szCs w:val="20"/>
              </w:rPr>
              <w:t>Charakterystyka (wymagania minimalne)</w:t>
            </w:r>
          </w:p>
        </w:tc>
      </w:tr>
      <w:tr w:rsidR="00DC45BB" w:rsidRPr="00F647E1" w:rsidTr="004B6BFB">
        <w:trPr>
          <w:trHeight w:val="210"/>
        </w:trPr>
        <w:tc>
          <w:tcPr>
            <w:tcW w:w="516" w:type="dxa"/>
          </w:tcPr>
          <w:p w:rsidR="00DC45BB" w:rsidRPr="00F647E1" w:rsidRDefault="00DC45BB" w:rsidP="00DC45BB">
            <w:pPr>
              <w:pStyle w:val="Akapitzlist"/>
              <w:numPr>
                <w:ilvl w:val="0"/>
                <w:numId w:val="2"/>
              </w:numPr>
              <w:spacing w:line="240" w:lineRule="auto"/>
              <w:ind w:hanging="598"/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noWrap/>
          </w:tcPr>
          <w:p w:rsidR="00DC45BB" w:rsidRPr="00F647E1" w:rsidRDefault="00DC45BB" w:rsidP="004B6BFB">
            <w:pPr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F647E1">
              <w:rPr>
                <w:rFonts w:cstheme="minorHAnsi"/>
                <w:b/>
                <w:bCs/>
                <w:sz w:val="20"/>
                <w:szCs w:val="20"/>
              </w:rPr>
              <w:t xml:space="preserve">Charakterystyka ogólna </w:t>
            </w:r>
          </w:p>
        </w:tc>
        <w:tc>
          <w:tcPr>
            <w:tcW w:w="7565" w:type="dxa"/>
            <w:noWrap/>
          </w:tcPr>
          <w:p w:rsidR="00DC45BB" w:rsidRPr="00F647E1" w:rsidRDefault="00DC45BB" w:rsidP="004B6BFB">
            <w:pPr>
              <w:jc w:val="both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F647E1">
              <w:rPr>
                <w:rFonts w:cstheme="minorHAnsi"/>
                <w:sz w:val="20"/>
                <w:szCs w:val="20"/>
              </w:rPr>
              <w:t xml:space="preserve">Agregat  będzie elementem infrastruktury  Urzędu ,   służący podniesieniu poziomu </w:t>
            </w:r>
            <w:proofErr w:type="spellStart"/>
            <w:r w:rsidRPr="00F647E1">
              <w:rPr>
                <w:rFonts w:cstheme="minorHAnsi"/>
                <w:sz w:val="20"/>
                <w:szCs w:val="20"/>
              </w:rPr>
              <w:t>cyberbezpieczeństwa</w:t>
            </w:r>
            <w:proofErr w:type="spellEnd"/>
            <w:r w:rsidRPr="00F647E1">
              <w:rPr>
                <w:rFonts w:cstheme="minorHAnsi"/>
                <w:sz w:val="20"/>
                <w:szCs w:val="20"/>
              </w:rPr>
              <w:t>. Agregat będzie wspierać działanie , na wypadek długoterminowych przerw w zasilaniu</w:t>
            </w:r>
          </w:p>
        </w:tc>
      </w:tr>
      <w:tr w:rsidR="00DC45BB" w:rsidRPr="00F647E1" w:rsidTr="004B6BFB">
        <w:trPr>
          <w:trHeight w:val="210"/>
        </w:trPr>
        <w:tc>
          <w:tcPr>
            <w:tcW w:w="516" w:type="dxa"/>
          </w:tcPr>
          <w:p w:rsidR="00DC45BB" w:rsidRPr="00F647E1" w:rsidRDefault="00DC45BB" w:rsidP="00DC45BB">
            <w:pPr>
              <w:pStyle w:val="Akapitzlist"/>
              <w:numPr>
                <w:ilvl w:val="0"/>
                <w:numId w:val="2"/>
              </w:numPr>
              <w:spacing w:line="240" w:lineRule="auto"/>
              <w:ind w:hanging="596"/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noWrap/>
            <w:hideMark/>
          </w:tcPr>
          <w:p w:rsidR="00DC45BB" w:rsidRPr="00F647E1" w:rsidRDefault="00DC45BB" w:rsidP="004B6BFB">
            <w:pPr>
              <w:jc w:val="both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F647E1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  <w:t>Obudowa</w:t>
            </w:r>
          </w:p>
        </w:tc>
        <w:tc>
          <w:tcPr>
            <w:tcW w:w="7565" w:type="dxa"/>
            <w:noWrap/>
            <w:hideMark/>
          </w:tcPr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Agregat wykonany zgodnie z obowiązującymi normami i standardami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• 2006/42/CE Bezpieczeństwo maszyn.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• Kompatybilność elektromagnetyczna 2014/30/UE.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• 2014/35/UE sprzętu elektrycznego przewidzianego do stosowania w określonych granicach napięcia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• 2000/14/WE Poziom hałasu. Emisja hałasu na zewnątrz urządzenia. (ze zmianami wprowadzonymi przez 2005/88/WE)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• Emisji zanieczyszczeń gazowych i pyłowych 97/68/WE. (ze zmianami wprowadzonymi przez 2012/46/EU)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• EN 12100, EN 13857, EN 60204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Agregat w wersji obudowanej, wyciszony. Stopień ochrony IP zgodnie z ISO 8528-13:2016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Pochodzący z bieżącej produkcji, posiadający znak CE oraz powinien być wyprodukowany na terytorium Unii Europejskiej. Data produkcji min. 2024r.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Dostarczone urządzenie powinno być w całości wyprodukowane i przetestowane przez jednego producenta.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Jakiekolwiek modyfikacje urządzenia ingerujące w jego konstrukcję nie są dopuszczane.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Silnik i prądnica z bieżącej produkcji. 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Wymagana bardzo mocna konstrukcja, wzmacniana od wewnątrz, zabezpieczona przed odkształceniami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Wysoka jakość obudowy - obudowa z blachy stalowej ocynkowanej ogniowo, malowana wielowarstwowo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Wymagane malowanie minimum w klasie C4-H.  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Wymagany jest centralny uchwyt załadunkowy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Mocne zawiasy ze stali nierdzewnej, drzwi zamykane na klucz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Zewnętrzny przycisk zatrzymania awaryjnego 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Amortyzatory drgań silnika i prądnicy typu HD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Osłona elementów gorących oraz wirujących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Projektowany agregat wymagany o wymiarach nie przekraczających (d x </w:t>
            </w:r>
            <w:proofErr w:type="spellStart"/>
            <w:r w:rsidRPr="00944425">
              <w:rPr>
                <w:rFonts w:cstheme="minorHAnsi"/>
                <w:sz w:val="20"/>
                <w:szCs w:val="20"/>
              </w:rPr>
              <w:t>sz</w:t>
            </w:r>
            <w:proofErr w:type="spellEnd"/>
            <w:r w:rsidRPr="00944425">
              <w:rPr>
                <w:rFonts w:cstheme="minorHAnsi"/>
                <w:sz w:val="20"/>
                <w:szCs w:val="20"/>
              </w:rPr>
              <w:t xml:space="preserve"> x w.) –   2100 x 900 x 1200 [mm]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oraz ciężarze własnym z płynami , bez paliwa – 900 kg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Wyciszenie o bardzo wysokiej skuteczności – wełna skalna o wysokim stopniu tłumienia, niepalna, atestowana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Dopuszczalny poziom ciśnienia akustycznego z 7m. nie więcej niż  – 63 </w:t>
            </w:r>
            <w:proofErr w:type="spellStart"/>
            <w:r w:rsidRPr="00944425">
              <w:rPr>
                <w:rFonts w:cstheme="minorHAnsi"/>
                <w:sz w:val="20"/>
                <w:szCs w:val="20"/>
              </w:rPr>
              <w:t>dBA</w:t>
            </w:r>
            <w:proofErr w:type="spellEnd"/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Stalowy tłumik dźwięków instalowany wewnątrz obudowy, uchylana pokrywa na wylocie 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Moc maksymalna agregatu nie mniej niż  – 44kVA  (35kW)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Moc znamionowa agregatu  – 40kVA  (32kW)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cos fi – 0,8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Napięcie – 400/230 V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Częstotliwość – 50Hz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Wymagane jest zastosowanie silnika renomowanego producenta posiadającego przynajmniej 5 autoryzowanych serwisów na terenie Polski, aby zapewnić późniejszą bezproblemową obsługę serwisową oraz dostęp do części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Wymagany silnik diesla o pojemności minimum 3,3 litra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Silnik 4 cylindrowy 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Moc maksymalna silnika min. 56 </w:t>
            </w:r>
            <w:proofErr w:type="spellStart"/>
            <w:r w:rsidRPr="00944425">
              <w:rPr>
                <w:rFonts w:cstheme="minorHAnsi"/>
                <w:sz w:val="20"/>
                <w:szCs w:val="20"/>
              </w:rPr>
              <w:t>hp</w:t>
            </w:r>
            <w:proofErr w:type="spellEnd"/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Wymagany jest zbiornik paliwa o pojemności zapewniającej 24 godziny pracy pod obciążeniem 75% mocy znamionowej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Wlew paliwa na zewnątrz obudowy. Dostęp ograniczony, zamykany na klucz. 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lastRenderedPageBreak/>
              <w:t>Filtr powietrza suchy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Silnik chłodzony wodą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Prędkość obrotowa – 1500 </w:t>
            </w:r>
            <w:proofErr w:type="spellStart"/>
            <w:r w:rsidRPr="00944425">
              <w:rPr>
                <w:rFonts w:cstheme="minorHAnsi"/>
                <w:sz w:val="20"/>
                <w:szCs w:val="20"/>
              </w:rPr>
              <w:t>r.p.m</w:t>
            </w:r>
            <w:proofErr w:type="spellEnd"/>
            <w:r w:rsidRPr="00944425">
              <w:rPr>
                <w:rFonts w:cstheme="minorHAnsi"/>
                <w:sz w:val="20"/>
                <w:szCs w:val="20"/>
              </w:rPr>
              <w:t>.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Układ elektryczny 12V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Akumulator rozruchowy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Automatyczna ładowarka akumulatora 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Automatyczne podgrzewanie bloku silnika. Sterowanie podgrzewania kontrolowane przez panel sterowania agregatu. </w:t>
            </w:r>
          </w:p>
        </w:tc>
      </w:tr>
      <w:tr w:rsidR="00DC45BB" w:rsidRPr="00F647E1" w:rsidTr="004B6BFB">
        <w:tc>
          <w:tcPr>
            <w:tcW w:w="516" w:type="dxa"/>
          </w:tcPr>
          <w:p w:rsidR="00DC45BB" w:rsidRPr="00F647E1" w:rsidRDefault="00DC45BB" w:rsidP="00DC45BB">
            <w:pPr>
              <w:pStyle w:val="Akapitzlist"/>
              <w:numPr>
                <w:ilvl w:val="0"/>
                <w:numId w:val="2"/>
              </w:numPr>
              <w:spacing w:line="240" w:lineRule="auto"/>
              <w:ind w:hanging="596"/>
              <w:jc w:val="both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noWrap/>
          </w:tcPr>
          <w:p w:rsidR="00DC45BB" w:rsidRPr="00F647E1" w:rsidRDefault="00DC45BB" w:rsidP="004B6BFB">
            <w:pPr>
              <w:jc w:val="both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F647E1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Prądnica</w:t>
            </w:r>
          </w:p>
        </w:tc>
        <w:tc>
          <w:tcPr>
            <w:tcW w:w="7565" w:type="dxa"/>
          </w:tcPr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Wymagane jest zastosowanie prądnicy renomowanego europejskiego producenta żeby zapewnić wymaganą późniejszą bezproblemową obsługę serwisową oraz dostęp do części.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wyprodukowana zgodnie z dyrektywami i standardami:  tj. CEI 2-3, IEC 34-1, EN 60034-1, VDE 0530, BS 4999-5000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Wyposażona w automatyczną regulację napięcia. Tolerancja napięcia +/-1%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Wymagane wykonanie, gdzie stojan prądnicy jest nawinięty z poskokiem 2/3 oraz dodatkowe uzwojenie pozwalające na przeciążenie prądnicy 300% x In przez 20sekund.  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Wymagana klasa IP - 23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Klasa izolacji – H 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Prądnica 4-polowa, 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Wymagana klasa IP - 23</w:t>
            </w:r>
          </w:p>
          <w:p w:rsidR="00DC45BB" w:rsidRPr="00F647E1" w:rsidRDefault="00DC45BB" w:rsidP="004B6BFB">
            <w:pPr>
              <w:pStyle w:val="Bezodstpw"/>
              <w:rPr>
                <w:rFonts w:eastAsia="Times New Roman"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Klasa izolacji – H</w:t>
            </w:r>
          </w:p>
        </w:tc>
      </w:tr>
      <w:tr w:rsidR="00DC45BB" w:rsidRPr="00F647E1" w:rsidTr="004B6BFB">
        <w:tc>
          <w:tcPr>
            <w:tcW w:w="516" w:type="dxa"/>
          </w:tcPr>
          <w:p w:rsidR="00DC45BB" w:rsidRPr="00F647E1" w:rsidRDefault="00DC45BB" w:rsidP="00DC45BB">
            <w:pPr>
              <w:pStyle w:val="Akapitzlist"/>
              <w:numPr>
                <w:ilvl w:val="0"/>
                <w:numId w:val="2"/>
              </w:numPr>
              <w:spacing w:line="240" w:lineRule="auto"/>
              <w:ind w:hanging="596"/>
              <w:jc w:val="both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noWrap/>
          </w:tcPr>
          <w:p w:rsidR="00DC45BB" w:rsidRPr="00F647E1" w:rsidRDefault="00DC45BB" w:rsidP="004B6BFB">
            <w:pPr>
              <w:jc w:val="both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F647E1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Panel sterowania </w:t>
            </w:r>
          </w:p>
        </w:tc>
        <w:tc>
          <w:tcPr>
            <w:tcW w:w="7565" w:type="dxa"/>
          </w:tcPr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Panel sterowania agregatu obsługujący tryb pracy automatycznej a także tryby manualny, test oraz off. Musi posiadać pełne menu w języku polskim z pełną obsługą rozwiązań producenta. Musi być wyposażony w dodatkową programowalną logikę PLC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Pozwalający na kontrolę parametrów sieci i agregatu (napięć , prądów, mocy , częstotliwości , </w:t>
            </w:r>
            <w:proofErr w:type="spellStart"/>
            <w:r w:rsidRPr="00944425">
              <w:rPr>
                <w:rFonts w:cstheme="minorHAnsi"/>
                <w:sz w:val="20"/>
                <w:szCs w:val="20"/>
              </w:rPr>
              <w:t>cosɸ</w:t>
            </w:r>
            <w:proofErr w:type="spellEnd"/>
            <w:r w:rsidRPr="00944425">
              <w:rPr>
                <w:rFonts w:cstheme="minorHAnsi"/>
                <w:sz w:val="20"/>
                <w:szCs w:val="20"/>
              </w:rPr>
              <w:t xml:space="preserve"> , napięcia ładowania akumulatora , ilości paliwa w zbiorniku , czasu pracy agregatu , parametrów silnika). Panel sterownika wyposażony w ekran LCD oraz tabliczkę z diodami sygnalizacyjnymi dla łatwej obsługi i szybkiej identyfikacji stanów pracy urządzenia. 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Wymagane jest aby panel sterowania wyposażony był w funkcję obsługi pracy układu SZR oraz wskazywał stany pracy elementu wykonawczego SZR. Szafa elektryczna/automatyki agregatu zbudowana na podzespołach renomowanych producentów elektryki i elektroniki, według norm i standardów. Nastawy zabezpieczenia głównego zgodnie z parametrami agregatu. </w:t>
            </w:r>
          </w:p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Panel pozwalający na montaż modułów komunikacyjnych (RS485, LAN, </w:t>
            </w:r>
            <w:proofErr w:type="spellStart"/>
            <w:r w:rsidRPr="00944425">
              <w:rPr>
                <w:rFonts w:cstheme="minorHAnsi"/>
                <w:sz w:val="20"/>
                <w:szCs w:val="20"/>
              </w:rPr>
              <w:t>Mobus</w:t>
            </w:r>
            <w:proofErr w:type="spellEnd"/>
            <w:r w:rsidRPr="00944425">
              <w:rPr>
                <w:rFonts w:cstheme="minorHAnsi"/>
                <w:sz w:val="20"/>
                <w:szCs w:val="20"/>
              </w:rPr>
              <w:t xml:space="preserve">, TCP/IP, SNMP, </w:t>
            </w:r>
            <w:proofErr w:type="spellStart"/>
            <w:r w:rsidRPr="00944425">
              <w:rPr>
                <w:rFonts w:cstheme="minorHAnsi"/>
                <w:sz w:val="20"/>
                <w:szCs w:val="20"/>
              </w:rPr>
              <w:t>Profibus</w:t>
            </w:r>
            <w:proofErr w:type="spellEnd"/>
            <w:r w:rsidRPr="00944425">
              <w:rPr>
                <w:rFonts w:cstheme="minorHAnsi"/>
                <w:sz w:val="20"/>
                <w:szCs w:val="20"/>
              </w:rPr>
              <w:t>, GPRS)</w:t>
            </w:r>
          </w:p>
          <w:p w:rsidR="00DC45BB" w:rsidRPr="00F647E1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DC45BB" w:rsidRPr="00F647E1" w:rsidTr="004B6BFB">
        <w:trPr>
          <w:trHeight w:val="1307"/>
        </w:trPr>
        <w:tc>
          <w:tcPr>
            <w:tcW w:w="516" w:type="dxa"/>
          </w:tcPr>
          <w:p w:rsidR="00DC45BB" w:rsidRPr="00F647E1" w:rsidRDefault="00DC45BB" w:rsidP="00DC45BB">
            <w:pPr>
              <w:pStyle w:val="Akapitzlist"/>
              <w:numPr>
                <w:ilvl w:val="0"/>
                <w:numId w:val="2"/>
              </w:numPr>
              <w:spacing w:line="240" w:lineRule="auto"/>
              <w:ind w:hanging="596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noWrap/>
            <w:vAlign w:val="center"/>
          </w:tcPr>
          <w:p w:rsidR="00DC45BB" w:rsidRPr="00F647E1" w:rsidRDefault="00DC45BB" w:rsidP="004B6BFB">
            <w:pPr>
              <w:jc w:val="center"/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F647E1">
              <w:rPr>
                <w:rFonts w:eastAsia="Times New Roman" w:cstheme="minorHAnsi"/>
                <w:b/>
                <w:bCs/>
                <w:color w:val="000000" w:themeColor="text1"/>
                <w:sz w:val="20"/>
                <w:szCs w:val="20"/>
              </w:rPr>
              <w:t>Samoczynne  Załączanie Rezerwy (SZR)</w:t>
            </w:r>
          </w:p>
        </w:tc>
        <w:tc>
          <w:tcPr>
            <w:tcW w:w="7565" w:type="dxa"/>
            <w:vAlign w:val="center"/>
          </w:tcPr>
          <w:p w:rsidR="00DC45BB" w:rsidRPr="00944425" w:rsidRDefault="00DC45BB" w:rsidP="004B6BFB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 xml:space="preserve">Układ SZR z blokadą elektryczną i mechaniczną. </w:t>
            </w:r>
          </w:p>
          <w:p w:rsidR="00DC45BB" w:rsidRPr="00F647E1" w:rsidRDefault="00DC45BB" w:rsidP="00DC45BB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425">
              <w:rPr>
                <w:rFonts w:cstheme="minorHAnsi"/>
                <w:sz w:val="20"/>
                <w:szCs w:val="20"/>
              </w:rPr>
              <w:t>Lampki potwierdzające stany pracy na drzwiczkach układu SZR – obecność sieci, zasilanie z sieci, obecność agregatu, zasilanie z agregatu.</w:t>
            </w:r>
          </w:p>
        </w:tc>
      </w:tr>
      <w:tr w:rsidR="00DC45BB" w:rsidRPr="00F647E1" w:rsidTr="004B6BFB">
        <w:trPr>
          <w:trHeight w:val="1307"/>
        </w:trPr>
        <w:tc>
          <w:tcPr>
            <w:tcW w:w="516" w:type="dxa"/>
          </w:tcPr>
          <w:p w:rsidR="00DC45BB" w:rsidRPr="00F647E1" w:rsidRDefault="00DC45BB" w:rsidP="00DC45BB">
            <w:pPr>
              <w:pStyle w:val="Akapitzlist"/>
              <w:numPr>
                <w:ilvl w:val="0"/>
                <w:numId w:val="2"/>
              </w:numPr>
              <w:spacing w:line="240" w:lineRule="auto"/>
              <w:ind w:hanging="596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noWrap/>
            <w:vAlign w:val="center"/>
          </w:tcPr>
          <w:p w:rsidR="00DC45BB" w:rsidRPr="00F647E1" w:rsidRDefault="00DC45BB" w:rsidP="004B6BFB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F647E1">
              <w:rPr>
                <w:b/>
                <w:color w:val="000000" w:themeColor="text1"/>
                <w:sz w:val="20"/>
                <w:szCs w:val="20"/>
              </w:rPr>
              <w:t>Warunki dostawy i  gwarancji</w:t>
            </w:r>
          </w:p>
        </w:tc>
        <w:tc>
          <w:tcPr>
            <w:tcW w:w="7565" w:type="dxa"/>
            <w:vAlign w:val="center"/>
          </w:tcPr>
          <w:p w:rsidR="00DC45BB" w:rsidRPr="00944425" w:rsidRDefault="00DC45BB" w:rsidP="004B6BFB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425">
              <w:rPr>
                <w:rFonts w:eastAsia="Times New Roman"/>
                <w:color w:val="000000" w:themeColor="text1"/>
                <w:sz w:val="20"/>
                <w:szCs w:val="20"/>
              </w:rPr>
              <w:t>Oferent zapewni dostawę wraz z rozładunkiem we wskazanym przez Zamawiającego miejscu. Miejsce pod agregat – wypoziomowane i utwardzone, przygotowane będzie przez Zamawiającego.</w:t>
            </w:r>
          </w:p>
          <w:p w:rsidR="00DC45BB" w:rsidRPr="00944425" w:rsidRDefault="00DC45BB" w:rsidP="004B6BFB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425">
              <w:rPr>
                <w:rFonts w:eastAsia="Times New Roman"/>
                <w:color w:val="000000" w:themeColor="text1"/>
                <w:sz w:val="20"/>
                <w:szCs w:val="20"/>
              </w:rPr>
              <w:t>Oferent zapewni podłączenie agregatu do wyprowadzonych przez zamawiającego odpowiednich kabli (w tym kabli mocy i sygnałowych). Montaż układu SZR oraz odpowiedniego okablowanie jest po stronie Zamawiającego.</w:t>
            </w:r>
          </w:p>
          <w:p w:rsidR="00DC45BB" w:rsidRPr="00944425" w:rsidRDefault="00DC45BB" w:rsidP="004B6BFB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425">
              <w:rPr>
                <w:rFonts w:eastAsia="Times New Roman"/>
                <w:color w:val="000000" w:themeColor="text1"/>
                <w:sz w:val="20"/>
                <w:szCs w:val="20"/>
              </w:rPr>
              <w:t>Oferent po podłączeniu i pierwszym uruchomieniu zapewni Zamawiającemu szkolenie z obsługi agregatu.</w:t>
            </w:r>
          </w:p>
          <w:p w:rsidR="00DC45BB" w:rsidRDefault="00DC45BB" w:rsidP="004B6BFB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425">
              <w:rPr>
                <w:rFonts w:eastAsia="Times New Roman"/>
                <w:color w:val="000000" w:themeColor="text1"/>
                <w:sz w:val="20"/>
                <w:szCs w:val="20"/>
              </w:rPr>
              <w:t>Wymagane jest by usługi podłączenia, uruchomienia i szkolenia zrealizowane były wyłącznie przez Autoryzowany Serwis Producenta.</w:t>
            </w:r>
          </w:p>
          <w:p w:rsidR="00E071D5" w:rsidRPr="00944425" w:rsidRDefault="00E071D5" w:rsidP="00E071D5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Zamawiający wymaga udzielenia mi. 24 mies. g</w:t>
            </w:r>
            <w:bookmarkStart w:id="1" w:name="_GoBack"/>
            <w:bookmarkEnd w:id="1"/>
            <w:r>
              <w:rPr>
                <w:rFonts w:eastAsia="Times New Roman"/>
                <w:color w:val="000000" w:themeColor="text1"/>
                <w:sz w:val="20"/>
                <w:szCs w:val="20"/>
              </w:rPr>
              <w:t>warancji na dostarczone urządzenie.</w:t>
            </w:r>
          </w:p>
        </w:tc>
      </w:tr>
      <w:tr w:rsidR="00DC45BB" w:rsidRPr="00F647E1" w:rsidTr="004B6BFB">
        <w:trPr>
          <w:trHeight w:val="1307"/>
        </w:trPr>
        <w:tc>
          <w:tcPr>
            <w:tcW w:w="516" w:type="dxa"/>
          </w:tcPr>
          <w:p w:rsidR="00DC45BB" w:rsidRPr="00F647E1" w:rsidRDefault="00DC45BB" w:rsidP="00DC45BB">
            <w:pPr>
              <w:pStyle w:val="Akapitzlist"/>
              <w:numPr>
                <w:ilvl w:val="0"/>
                <w:numId w:val="2"/>
              </w:numPr>
              <w:spacing w:line="240" w:lineRule="auto"/>
              <w:ind w:hanging="596"/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noWrap/>
            <w:vAlign w:val="center"/>
          </w:tcPr>
          <w:p w:rsidR="00DC45BB" w:rsidRPr="00F647E1" w:rsidRDefault="00DC45BB" w:rsidP="004B6BFB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Certyfikaty </w:t>
            </w:r>
          </w:p>
        </w:tc>
        <w:tc>
          <w:tcPr>
            <w:tcW w:w="7565" w:type="dxa"/>
            <w:vAlign w:val="center"/>
          </w:tcPr>
          <w:p w:rsidR="00DC45BB" w:rsidRPr="00944425" w:rsidRDefault="00DC45BB" w:rsidP="004B6BFB">
            <w:pPr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944425">
              <w:rPr>
                <w:rFonts w:eastAsia="Times New Roman"/>
                <w:color w:val="000000" w:themeColor="text1"/>
                <w:sz w:val="20"/>
                <w:szCs w:val="20"/>
              </w:rPr>
              <w:t>Oferent przedstawi certyfikat lub oświadczenie producenta lub wyłącznego dystrybutora o posiadaniu przez oferenta statusu Autoryzowanego Partnera - mającego wiedzę w zakresie doboru i sprzedaży agregatów prądotwórczych jeżeli oferent nie jest producentem sprzętu.</w:t>
            </w:r>
            <w:r>
              <w:rPr>
                <w:rFonts w:eastAsia="Times New Roman"/>
                <w:color w:val="000000" w:themeColor="text1"/>
                <w:sz w:val="20"/>
                <w:szCs w:val="20"/>
              </w:rPr>
              <w:br/>
            </w:r>
            <w:r w:rsidRPr="00944425">
              <w:rPr>
                <w:rFonts w:eastAsia="Times New Roman"/>
                <w:color w:val="000000" w:themeColor="text1"/>
                <w:sz w:val="20"/>
                <w:szCs w:val="20"/>
              </w:rPr>
              <w:t>Jeżeli karta katalogowa producenta agregatu nie uwzględnia / potwierdza wszystkich wymaganych minimalnych parametrów to Oferent zobligowany jest do przedstawienia oświadczenia producenta lub wyłącznego dystrybutora potwierdzającego spełnienie wszystkich minimalnych wymagań odnośnie oferowanego agregatu.</w:t>
            </w:r>
          </w:p>
          <w:p w:rsidR="00DC45BB" w:rsidRPr="00944425" w:rsidRDefault="00DC45BB" w:rsidP="004B6BFB">
            <w:pPr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707406" w:rsidRDefault="00041559"/>
    <w:p w:rsidR="00E560CD" w:rsidRDefault="00E560CD"/>
    <w:p w:rsidR="00E560CD" w:rsidRDefault="00E560CD">
      <w:pPr>
        <w:rPr>
          <w:b/>
          <w:sz w:val="24"/>
        </w:rPr>
      </w:pPr>
      <w:r w:rsidRPr="00E560CD">
        <w:rPr>
          <w:b/>
          <w:sz w:val="24"/>
        </w:rPr>
        <w:t>OPIS WDROŻENIA</w:t>
      </w:r>
    </w:p>
    <w:p w:rsidR="00E560CD" w:rsidRDefault="00E560CD">
      <w:pPr>
        <w:rPr>
          <w:b/>
          <w:sz w:val="24"/>
        </w:rPr>
      </w:pPr>
    </w:p>
    <w:tbl>
      <w:tblPr>
        <w:tblW w:w="1077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843"/>
        <w:gridCol w:w="8363"/>
      </w:tblGrid>
      <w:tr w:rsidR="00E560CD" w:rsidRPr="00F647E1" w:rsidTr="004B6BFB">
        <w:tc>
          <w:tcPr>
            <w:tcW w:w="567" w:type="dxa"/>
            <w:vAlign w:val="center"/>
            <w:hideMark/>
          </w:tcPr>
          <w:p w:rsidR="00E560CD" w:rsidRPr="00F647E1" w:rsidRDefault="00E560CD" w:rsidP="004B6BFB">
            <w:pPr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1843" w:type="dxa"/>
            <w:vAlign w:val="center"/>
            <w:hideMark/>
          </w:tcPr>
          <w:p w:rsidR="00E560CD" w:rsidRPr="00F647E1" w:rsidRDefault="00E560CD" w:rsidP="004B6BFB">
            <w:pPr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8363" w:type="dxa"/>
            <w:vAlign w:val="center"/>
            <w:hideMark/>
          </w:tcPr>
          <w:p w:rsidR="00E560CD" w:rsidRPr="00F647E1" w:rsidRDefault="00E560CD" w:rsidP="004B6BFB">
            <w:pPr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Charakterystyka (wymagania minimalne)</w:t>
            </w:r>
          </w:p>
        </w:tc>
      </w:tr>
      <w:tr w:rsidR="00E560CD" w:rsidRPr="00F647E1" w:rsidTr="004B6BFB">
        <w:tc>
          <w:tcPr>
            <w:tcW w:w="567" w:type="dxa"/>
            <w:vAlign w:val="center"/>
            <w:hideMark/>
          </w:tcPr>
          <w:p w:rsidR="00E560CD" w:rsidRPr="00F647E1" w:rsidRDefault="00E560CD" w:rsidP="004B6BFB">
            <w:pPr>
              <w:jc w:val="center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1.</w:t>
            </w:r>
          </w:p>
        </w:tc>
        <w:tc>
          <w:tcPr>
            <w:tcW w:w="1843" w:type="dxa"/>
            <w:vAlign w:val="center"/>
            <w:hideMark/>
          </w:tcPr>
          <w:p w:rsidR="00E560CD" w:rsidRPr="00F647E1" w:rsidRDefault="00E560CD" w:rsidP="004B6BFB">
            <w:pPr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Przygotowanie środowiska serwerowego</w:t>
            </w:r>
          </w:p>
        </w:tc>
        <w:tc>
          <w:tcPr>
            <w:tcW w:w="8363" w:type="dxa"/>
            <w:vAlign w:val="center"/>
            <w:hideMark/>
          </w:tcPr>
          <w:p w:rsidR="00E560CD" w:rsidRPr="00F647E1" w:rsidRDefault="00E560CD" w:rsidP="00E560CD">
            <w:pPr>
              <w:pStyle w:val="Akapitzlist"/>
              <w:numPr>
                <w:ilvl w:val="3"/>
                <w:numId w:val="3"/>
              </w:numPr>
              <w:tabs>
                <w:tab w:val="clear" w:pos="3960"/>
              </w:tabs>
              <w:ind w:left="255" w:hanging="284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Dostawa HDS-em z rozładunkiem</w:t>
            </w:r>
          </w:p>
          <w:p w:rsidR="00E560CD" w:rsidRPr="00F647E1" w:rsidRDefault="00E560CD" w:rsidP="00E560CD">
            <w:pPr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Zakres działań</w:t>
            </w:r>
            <w:r w:rsidRPr="00F647E1">
              <w:rPr>
                <w:sz w:val="20"/>
                <w:szCs w:val="20"/>
              </w:rPr>
              <w:t>:</w:t>
            </w:r>
          </w:p>
          <w:p w:rsidR="00E560CD" w:rsidRPr="00F647E1" w:rsidRDefault="00E560CD" w:rsidP="00E560CD">
            <w:pPr>
              <w:numPr>
                <w:ilvl w:val="1"/>
                <w:numId w:val="4"/>
              </w:num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Transport agregatu na miejsce instalacji przy użyciu samochodu z hydraulicznym dźwigiem samochodowym (HDS).</w:t>
            </w:r>
          </w:p>
          <w:p w:rsidR="00E560CD" w:rsidRPr="00F647E1" w:rsidRDefault="00E560CD" w:rsidP="00E560CD">
            <w:pPr>
              <w:numPr>
                <w:ilvl w:val="1"/>
                <w:numId w:val="4"/>
              </w:num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Rozładunek i precyzyjne ustawienie urządzenia na przygotowanym fundamencie lub platformie.</w:t>
            </w:r>
          </w:p>
          <w:p w:rsidR="00E560CD" w:rsidRPr="00F647E1" w:rsidRDefault="00E560CD" w:rsidP="00E560CD">
            <w:pPr>
              <w:numPr>
                <w:ilvl w:val="1"/>
                <w:numId w:val="4"/>
              </w:num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Weryfikacja stanu urządzenia po transporcie (kontrola wizualna obudowy, elementów wewnętrznych, zgodności ze specyfikacją dostawy​).</w:t>
            </w:r>
          </w:p>
          <w:p w:rsidR="00E560CD" w:rsidRPr="00F647E1" w:rsidRDefault="00E560CD" w:rsidP="004B6BFB">
            <w:pPr>
              <w:jc w:val="both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2. Pierwsze uruchomienie – podłączenie potrzeb własnych oraz sterowania do panelu agregatu</w:t>
            </w:r>
          </w:p>
          <w:p w:rsidR="00E560CD" w:rsidRPr="00F647E1" w:rsidRDefault="00E560CD" w:rsidP="00E560CD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Podłączenia techniczne</w:t>
            </w:r>
            <w:r w:rsidRPr="00F647E1">
              <w:rPr>
                <w:sz w:val="20"/>
                <w:szCs w:val="20"/>
              </w:rPr>
              <w:t>:</w:t>
            </w:r>
          </w:p>
          <w:p w:rsidR="00E560CD" w:rsidRPr="00F647E1" w:rsidRDefault="00E560CD" w:rsidP="00E560CD">
            <w:pPr>
              <w:numPr>
                <w:ilvl w:val="1"/>
                <w:numId w:val="5"/>
              </w:num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Instalacja systemów sterowania (zasilanie urządzeń pomocniczych, obwody sterowania, podłączenie do panelu głównego).</w:t>
            </w:r>
          </w:p>
          <w:p w:rsidR="00E560CD" w:rsidRPr="00F647E1" w:rsidRDefault="00E560CD" w:rsidP="00E560CD">
            <w:pPr>
              <w:numPr>
                <w:ilvl w:val="1"/>
                <w:numId w:val="5"/>
              </w:num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Podłączenie akumulatora do systemu startowego.</w:t>
            </w:r>
          </w:p>
          <w:p w:rsidR="00E560CD" w:rsidRPr="00F647E1" w:rsidRDefault="00E560CD" w:rsidP="00E560CD">
            <w:pPr>
              <w:numPr>
                <w:ilvl w:val="1"/>
                <w:numId w:val="5"/>
              </w:num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Konfiguracja obwodów monitorujących zgodnie z dokumentacją techniczną producenta.</w:t>
            </w:r>
          </w:p>
          <w:p w:rsidR="00E560CD" w:rsidRPr="00F647E1" w:rsidRDefault="00E560CD" w:rsidP="00E560CD">
            <w:pPr>
              <w:numPr>
                <w:ilvl w:val="0"/>
                <w:numId w:val="5"/>
              </w:numPr>
              <w:jc w:val="both"/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Testy wstępne</w:t>
            </w:r>
            <w:r w:rsidRPr="00F647E1">
              <w:rPr>
                <w:sz w:val="20"/>
                <w:szCs w:val="20"/>
              </w:rPr>
              <w:t>:</w:t>
            </w:r>
          </w:p>
          <w:p w:rsidR="00E560CD" w:rsidRPr="00F647E1" w:rsidRDefault="00E560CD" w:rsidP="00E560CD">
            <w:pPr>
              <w:numPr>
                <w:ilvl w:val="1"/>
                <w:numId w:val="5"/>
              </w:num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Sprawdzenie poprawności połączeń elektrycznych.</w:t>
            </w:r>
          </w:p>
          <w:p w:rsidR="00E560CD" w:rsidRPr="00F647E1" w:rsidRDefault="00E560CD" w:rsidP="00E560CD">
            <w:pPr>
              <w:numPr>
                <w:ilvl w:val="1"/>
                <w:numId w:val="5"/>
              </w:num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Ustawienie parametrów kontrolnych (np. częstotliwość, napięcie wyjściowe​).</w:t>
            </w:r>
          </w:p>
          <w:p w:rsidR="00E560CD" w:rsidRPr="00F647E1" w:rsidRDefault="00E560CD" w:rsidP="004B6BFB">
            <w:pPr>
              <w:jc w:val="both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3. Podłączenie kabla mocy do wyłącznika agregatu</w:t>
            </w:r>
          </w:p>
          <w:p w:rsidR="00E560CD" w:rsidRPr="00F647E1" w:rsidRDefault="00E560CD" w:rsidP="00E560CD">
            <w:pPr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Prace elektryczne</w:t>
            </w:r>
            <w:r w:rsidRPr="00F647E1">
              <w:rPr>
                <w:sz w:val="20"/>
                <w:szCs w:val="20"/>
              </w:rPr>
              <w:t>:</w:t>
            </w:r>
          </w:p>
          <w:p w:rsidR="00E560CD" w:rsidRPr="00F647E1" w:rsidRDefault="00E560CD" w:rsidP="00E560CD">
            <w:pPr>
              <w:numPr>
                <w:ilvl w:val="1"/>
                <w:numId w:val="6"/>
              </w:num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Połączenie kabla mocy z wyłącznikiem głównym, zgodnie z wymogami norm elektrycznych (np. norma EN 60034-1​).</w:t>
            </w:r>
          </w:p>
          <w:p w:rsidR="00E560CD" w:rsidRPr="00F647E1" w:rsidRDefault="00E560CD" w:rsidP="00E560CD">
            <w:pPr>
              <w:numPr>
                <w:ilvl w:val="1"/>
                <w:numId w:val="6"/>
              </w:num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Kontrola przekrojów przewodów i jakości złączek.</w:t>
            </w:r>
          </w:p>
          <w:p w:rsidR="00E560CD" w:rsidRPr="00F647E1" w:rsidRDefault="00E560CD" w:rsidP="00E560CD">
            <w:pPr>
              <w:numPr>
                <w:ilvl w:val="1"/>
                <w:numId w:val="6"/>
              </w:num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Uziemienie agregatu w celu spełnienia norm bezpieczeństwa.</w:t>
            </w:r>
          </w:p>
          <w:p w:rsidR="00E560CD" w:rsidRPr="00F647E1" w:rsidRDefault="00E560CD" w:rsidP="004B6BFB">
            <w:pPr>
              <w:ind w:left="396"/>
              <w:jc w:val="both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Automatyka SZR:</w:t>
            </w:r>
          </w:p>
          <w:p w:rsidR="00E560CD" w:rsidRPr="00F647E1" w:rsidRDefault="00E560CD" w:rsidP="004B6BFB">
            <w:pPr>
              <w:jc w:val="both"/>
              <w:rPr>
                <w:sz w:val="20"/>
                <w:szCs w:val="20"/>
              </w:rPr>
            </w:pPr>
          </w:p>
          <w:p w:rsidR="00E560CD" w:rsidRPr="00F647E1" w:rsidRDefault="00E560CD" w:rsidP="004B6BFB">
            <w:pPr>
              <w:ind w:left="396"/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Zastosowanie automatyki SZR do zarządzania przełączaniem zasilania między linią główną a agregatem w sposób całkowicie zautomatyzowany.</w:t>
            </w:r>
          </w:p>
          <w:p w:rsidR="00E560CD" w:rsidRPr="00F647E1" w:rsidRDefault="00E560CD" w:rsidP="004B6BFB">
            <w:pPr>
              <w:ind w:left="396"/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Automatyczne wykrywanie awarii zasilania z sieci i natychmiastowe uruchomienie agregatu.</w:t>
            </w:r>
          </w:p>
          <w:p w:rsidR="00E560CD" w:rsidRPr="00F647E1" w:rsidRDefault="00E560CD" w:rsidP="004B6BFB">
            <w:pPr>
              <w:ind w:left="396"/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Programowalny sterownik odpowiedzialny za monitorowanie parametrów napięcia i prądu oraz inicjowanie przełączeń.</w:t>
            </w:r>
          </w:p>
          <w:p w:rsidR="00E560CD" w:rsidRPr="00F647E1" w:rsidRDefault="00E560CD" w:rsidP="004B6BFB">
            <w:pPr>
              <w:ind w:left="396"/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Możliwość integracji z systemami nadrzędnymi (np. SCADA) w celu zdalnego nadzoru i konfiguracji.</w:t>
            </w:r>
          </w:p>
          <w:p w:rsidR="00E560CD" w:rsidRPr="00F647E1" w:rsidRDefault="00E560CD" w:rsidP="004B6BFB">
            <w:pPr>
              <w:jc w:val="both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 xml:space="preserve">         </w:t>
            </w:r>
          </w:p>
          <w:p w:rsidR="00E560CD" w:rsidRPr="00F647E1" w:rsidRDefault="00E560CD" w:rsidP="004B6BFB">
            <w:pPr>
              <w:jc w:val="both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 xml:space="preserve">         Testowanie i uruchomienie:</w:t>
            </w:r>
          </w:p>
          <w:p w:rsidR="00E560CD" w:rsidRPr="00F647E1" w:rsidRDefault="00E560CD" w:rsidP="004B6BFB">
            <w:pPr>
              <w:jc w:val="both"/>
              <w:rPr>
                <w:sz w:val="20"/>
                <w:szCs w:val="20"/>
              </w:rPr>
            </w:pPr>
          </w:p>
          <w:p w:rsidR="00E560CD" w:rsidRPr="00F647E1" w:rsidRDefault="00E560CD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Po zainstalowaniu systemu przeprowadzona zostanie szczegółowa konfiguracja i testowanie układu SZR w różnych scenariuszach awaryjnych.</w:t>
            </w:r>
          </w:p>
          <w:p w:rsidR="00E560CD" w:rsidRPr="00F647E1" w:rsidRDefault="00E560CD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Zostanie zapewnione szkolenie dla użytkowników końcowych w zakresie obsługi systemu.</w:t>
            </w:r>
          </w:p>
          <w:p w:rsidR="00E560CD" w:rsidRPr="00F647E1" w:rsidRDefault="00E560CD" w:rsidP="004B6BFB">
            <w:pPr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Wdrożenie zapewni niezawodność zasilania i automatyczne przełączanie na źródło rezerwowe, co zminimalizuje przestoje oraz ryzyko utraty zasilania dla krytycznych urządzeń i instalacji.</w:t>
            </w:r>
          </w:p>
          <w:p w:rsidR="00E560CD" w:rsidRPr="00F647E1" w:rsidRDefault="00E560CD" w:rsidP="004B6BFB">
            <w:pPr>
              <w:jc w:val="both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4. Programowanie logiki sterownika</w:t>
            </w:r>
          </w:p>
          <w:p w:rsidR="00E560CD" w:rsidRPr="00F647E1" w:rsidRDefault="00E560CD" w:rsidP="00E560CD">
            <w:pPr>
              <w:numPr>
                <w:ilvl w:val="0"/>
                <w:numId w:val="7"/>
              </w:numPr>
              <w:tabs>
                <w:tab w:val="clear" w:pos="720"/>
                <w:tab w:val="num" w:pos="396"/>
              </w:tabs>
              <w:ind w:hanging="607"/>
              <w:jc w:val="both"/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lastRenderedPageBreak/>
              <w:t>Zakres działań</w:t>
            </w:r>
            <w:r w:rsidRPr="00F647E1">
              <w:rPr>
                <w:sz w:val="20"/>
                <w:szCs w:val="20"/>
              </w:rPr>
              <w:t>:</w:t>
            </w:r>
          </w:p>
          <w:p w:rsidR="00E560CD" w:rsidRPr="00F647E1" w:rsidRDefault="00E560CD" w:rsidP="00E560CD">
            <w:pPr>
              <w:numPr>
                <w:ilvl w:val="1"/>
                <w:numId w:val="7"/>
              </w:numPr>
              <w:tabs>
                <w:tab w:val="clear" w:pos="1440"/>
                <w:tab w:val="num" w:pos="396"/>
                <w:tab w:val="num" w:pos="1105"/>
              </w:tabs>
              <w:ind w:hanging="607"/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 xml:space="preserve">Konfiguracja sterownika elektronicznego (AVR – Automatic </w:t>
            </w:r>
            <w:proofErr w:type="spellStart"/>
            <w:r w:rsidRPr="00F647E1">
              <w:rPr>
                <w:sz w:val="20"/>
                <w:szCs w:val="20"/>
              </w:rPr>
              <w:t>Voltage</w:t>
            </w:r>
            <w:proofErr w:type="spellEnd"/>
            <w:r w:rsidRPr="00F647E1">
              <w:rPr>
                <w:sz w:val="20"/>
                <w:szCs w:val="20"/>
              </w:rPr>
              <w:t xml:space="preserve"> Regulator) odpowiedzialnego za regulację napięcia.</w:t>
            </w:r>
          </w:p>
          <w:p w:rsidR="00E560CD" w:rsidRPr="00F647E1" w:rsidRDefault="00E560CD" w:rsidP="00E560CD">
            <w:pPr>
              <w:numPr>
                <w:ilvl w:val="1"/>
                <w:numId w:val="7"/>
              </w:numPr>
              <w:tabs>
                <w:tab w:val="clear" w:pos="1440"/>
                <w:tab w:val="num" w:pos="396"/>
                <w:tab w:val="num" w:pos="1105"/>
              </w:tabs>
              <w:ind w:hanging="607"/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Wprowadzenie parametrów pracy, takich jak tryby ręczny/automatyczny, priorytet zasilania, alarmy przeciążeniowe​.</w:t>
            </w:r>
          </w:p>
          <w:p w:rsidR="00E560CD" w:rsidRPr="00F647E1" w:rsidRDefault="00E560CD" w:rsidP="00E560CD">
            <w:pPr>
              <w:numPr>
                <w:ilvl w:val="1"/>
                <w:numId w:val="7"/>
              </w:numPr>
              <w:tabs>
                <w:tab w:val="clear" w:pos="1440"/>
                <w:tab w:val="num" w:pos="396"/>
                <w:tab w:val="num" w:pos="1105"/>
              </w:tabs>
              <w:ind w:hanging="607"/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Test działania w różnych scenariuszach (zasilanie sieciowe/awaryjne).</w:t>
            </w:r>
          </w:p>
          <w:p w:rsidR="00E560CD" w:rsidRPr="00F647E1" w:rsidRDefault="00E560CD" w:rsidP="004B6BFB">
            <w:pPr>
              <w:tabs>
                <w:tab w:val="num" w:pos="396"/>
                <w:tab w:val="num" w:pos="1105"/>
              </w:tabs>
              <w:ind w:hanging="607"/>
              <w:jc w:val="both"/>
              <w:rPr>
                <w:b/>
                <w:bCs/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5. Szko</w:t>
            </w:r>
            <w:r w:rsidR="002F655A">
              <w:rPr>
                <w:b/>
                <w:bCs/>
                <w:sz w:val="20"/>
                <w:szCs w:val="20"/>
              </w:rPr>
              <w:t>Okreś</w:t>
            </w:r>
            <w:r w:rsidRPr="00F647E1">
              <w:rPr>
                <w:b/>
                <w:bCs/>
                <w:sz w:val="20"/>
                <w:szCs w:val="20"/>
              </w:rPr>
              <w:t>lenie użytkownika</w:t>
            </w:r>
          </w:p>
          <w:p w:rsidR="00E560CD" w:rsidRPr="00F647E1" w:rsidRDefault="00E560CD" w:rsidP="00E560CD">
            <w:pPr>
              <w:numPr>
                <w:ilvl w:val="0"/>
                <w:numId w:val="8"/>
              </w:numPr>
              <w:tabs>
                <w:tab w:val="clear" w:pos="720"/>
                <w:tab w:val="num" w:pos="396"/>
                <w:tab w:val="num" w:pos="680"/>
                <w:tab w:val="num" w:pos="1105"/>
              </w:tabs>
              <w:ind w:hanging="607"/>
              <w:jc w:val="both"/>
              <w:rPr>
                <w:sz w:val="20"/>
                <w:szCs w:val="20"/>
              </w:rPr>
            </w:pPr>
            <w:r w:rsidRPr="00F647E1">
              <w:rPr>
                <w:b/>
                <w:bCs/>
                <w:sz w:val="20"/>
                <w:szCs w:val="20"/>
              </w:rPr>
              <w:t>Celem szkolenia</w:t>
            </w:r>
            <w:r w:rsidRPr="00F647E1">
              <w:rPr>
                <w:sz w:val="20"/>
                <w:szCs w:val="20"/>
              </w:rPr>
              <w:t>:</w:t>
            </w:r>
          </w:p>
          <w:p w:rsidR="00E560CD" w:rsidRPr="00F647E1" w:rsidRDefault="00E560CD" w:rsidP="00E560CD">
            <w:pPr>
              <w:numPr>
                <w:ilvl w:val="1"/>
                <w:numId w:val="8"/>
              </w:numPr>
              <w:tabs>
                <w:tab w:val="clear" w:pos="1440"/>
                <w:tab w:val="num" w:pos="396"/>
                <w:tab w:val="num" w:pos="680"/>
                <w:tab w:val="num" w:pos="1105"/>
              </w:tabs>
              <w:ind w:hanging="607"/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Zapewnienie obsługi technicznej przez przeszkolony personel.</w:t>
            </w:r>
          </w:p>
          <w:p w:rsidR="00E560CD" w:rsidRPr="00F647E1" w:rsidRDefault="00E560CD" w:rsidP="00E560CD">
            <w:pPr>
              <w:numPr>
                <w:ilvl w:val="1"/>
                <w:numId w:val="8"/>
              </w:numPr>
              <w:tabs>
                <w:tab w:val="clear" w:pos="1440"/>
                <w:tab w:val="num" w:pos="396"/>
                <w:tab w:val="num" w:pos="680"/>
                <w:tab w:val="num" w:pos="1105"/>
              </w:tabs>
              <w:ind w:hanging="607"/>
              <w:jc w:val="both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Instruktaż w zakresie obsługi panelu sterowania, monitorowania parametrów i postępowania w sytuacjach awaryjnych.</w:t>
            </w:r>
          </w:p>
          <w:p w:rsidR="00E560CD" w:rsidRPr="00F647E1" w:rsidRDefault="00E560CD" w:rsidP="00E560CD">
            <w:pPr>
              <w:numPr>
                <w:ilvl w:val="1"/>
                <w:numId w:val="8"/>
              </w:numPr>
              <w:tabs>
                <w:tab w:val="clear" w:pos="1440"/>
                <w:tab w:val="num" w:pos="396"/>
                <w:tab w:val="num" w:pos="680"/>
                <w:tab w:val="num" w:pos="1105"/>
              </w:tabs>
              <w:ind w:hanging="607"/>
              <w:rPr>
                <w:sz w:val="20"/>
                <w:szCs w:val="20"/>
              </w:rPr>
            </w:pPr>
            <w:r w:rsidRPr="00F647E1">
              <w:rPr>
                <w:sz w:val="20"/>
                <w:szCs w:val="20"/>
              </w:rPr>
              <w:t>Przedstawienie harmonogramu przeglądów serwisowych oraz procedur obsługi eksploatacyjnej.</w:t>
            </w:r>
          </w:p>
          <w:p w:rsidR="00E560CD" w:rsidRPr="00F647E1" w:rsidRDefault="00E560CD" w:rsidP="004B6BFB">
            <w:pPr>
              <w:jc w:val="both"/>
              <w:rPr>
                <w:sz w:val="20"/>
                <w:szCs w:val="20"/>
              </w:rPr>
            </w:pPr>
          </w:p>
        </w:tc>
      </w:tr>
    </w:tbl>
    <w:p w:rsidR="008D6F27" w:rsidRPr="008D6F27" w:rsidRDefault="008D6F27">
      <w:pPr>
        <w:rPr>
          <w:b/>
          <w:color w:val="FF0000"/>
          <w:sz w:val="24"/>
        </w:rPr>
      </w:pPr>
    </w:p>
    <w:sectPr w:rsidR="008D6F27" w:rsidRPr="008D6F27" w:rsidSect="00E560CD">
      <w:headerReference w:type="default" r:id="rId7"/>
      <w:footerReference w:type="default" r:id="rId8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559" w:rsidRDefault="00041559" w:rsidP="00BE5A8E">
      <w:r>
        <w:separator/>
      </w:r>
    </w:p>
  </w:endnote>
  <w:endnote w:type="continuationSeparator" w:id="0">
    <w:p w:rsidR="00041559" w:rsidRDefault="00041559" w:rsidP="00BE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A8E" w:rsidRDefault="00BE5A8E" w:rsidP="00BE5A8E">
    <w:pPr>
      <w:pStyle w:val="NormalnyWeb"/>
      <w:ind w:left="-1134"/>
    </w:pPr>
  </w:p>
  <w:p w:rsidR="00BE5A8E" w:rsidRDefault="00BE5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559" w:rsidRDefault="00041559" w:rsidP="00BE5A8E">
      <w:r>
        <w:separator/>
      </w:r>
    </w:p>
  </w:footnote>
  <w:footnote w:type="continuationSeparator" w:id="0">
    <w:p w:rsidR="00041559" w:rsidRDefault="00041559" w:rsidP="00BE5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A8E" w:rsidRDefault="00E560CD">
    <w:pPr>
      <w:pStyle w:val="Nagwek"/>
    </w:pPr>
    <w:r>
      <w:rPr>
        <w:noProof/>
        <w:lang w:eastAsia="pl-PL"/>
      </w:rPr>
      <w:drawing>
        <wp:inline distT="0" distB="0" distL="0" distR="0" wp14:anchorId="1277392C" wp14:editId="02D915D2">
          <wp:extent cx="5760720" cy="596265"/>
          <wp:effectExtent l="0" t="0" r="0" b="0"/>
          <wp:docPr id="10" name="Obraz 10" descr="C:\Users\M.Konopka\Desktop\GOSIA 2026\Postępowania\271.1.2026 Cyberbezpieczny samorząd\materiały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.Konopka\Desktop\GOSIA 2026\Postępowania\271.1.2026 Cyberbezpieczny samorząd\materiały\Logotypy_+_CPP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C6EFF"/>
    <w:multiLevelType w:val="hybridMultilevel"/>
    <w:tmpl w:val="17046EB4"/>
    <w:lvl w:ilvl="0" w:tplc="0415000F">
      <w:start w:val="1"/>
      <w:numFmt w:val="decimal"/>
      <w:lvlText w:val="%1."/>
      <w:lvlJc w:val="left"/>
      <w:pPr>
        <w:tabs>
          <w:tab w:val="num" w:pos="2770"/>
        </w:tabs>
        <w:ind w:left="277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1CC31030"/>
    <w:multiLevelType w:val="multilevel"/>
    <w:tmpl w:val="60DA1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D6666E"/>
    <w:multiLevelType w:val="multilevel"/>
    <w:tmpl w:val="BEE4C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885C34"/>
    <w:multiLevelType w:val="multilevel"/>
    <w:tmpl w:val="028AA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0C0264"/>
    <w:multiLevelType w:val="multilevel"/>
    <w:tmpl w:val="ED3E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FC4EC7"/>
    <w:multiLevelType w:val="hybridMultilevel"/>
    <w:tmpl w:val="D24E7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2115B6"/>
    <w:multiLevelType w:val="multilevel"/>
    <w:tmpl w:val="5344C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CF2864"/>
    <w:multiLevelType w:val="hybridMultilevel"/>
    <w:tmpl w:val="C31EF8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5BB"/>
    <w:rsid w:val="00041559"/>
    <w:rsid w:val="0012501E"/>
    <w:rsid w:val="002631FA"/>
    <w:rsid w:val="002F655A"/>
    <w:rsid w:val="0042393F"/>
    <w:rsid w:val="00646EFD"/>
    <w:rsid w:val="008703B1"/>
    <w:rsid w:val="008D6F27"/>
    <w:rsid w:val="008E01E0"/>
    <w:rsid w:val="00A74BB7"/>
    <w:rsid w:val="00B51FC9"/>
    <w:rsid w:val="00BE5A8E"/>
    <w:rsid w:val="00DC45BB"/>
    <w:rsid w:val="00E071D5"/>
    <w:rsid w:val="00E560CD"/>
    <w:rsid w:val="00ED0C8A"/>
    <w:rsid w:val="00F242E3"/>
    <w:rsid w:val="00FA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38E062"/>
  <w15:chartTrackingRefBased/>
  <w15:docId w15:val="{51F86D18-C7F5-4015-943E-80D27F95B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C45BB"/>
    <w:pPr>
      <w:spacing w:after="0" w:line="240" w:lineRule="auto"/>
    </w:pPr>
  </w:style>
  <w:style w:type="paragraph" w:styleId="Nagwek2">
    <w:name w:val="heading 2"/>
    <w:aliases w:val="2,SEKCJE nad tabelą"/>
    <w:basedOn w:val="Normalny"/>
    <w:next w:val="Normalny"/>
    <w:link w:val="Nagwek2Znak"/>
    <w:autoRedefine/>
    <w:uiPriority w:val="9"/>
    <w:unhideWhenUsed/>
    <w:qFormat/>
    <w:rsid w:val="00DC45BB"/>
    <w:pPr>
      <w:keepNext/>
      <w:keepLines/>
      <w:tabs>
        <w:tab w:val="left" w:pos="284"/>
      </w:tabs>
      <w:spacing w:before="40"/>
      <w:ind w:left="284"/>
      <w:outlineLvl w:val="1"/>
    </w:pPr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2 Znak,SEKCJE nad tabelą Znak"/>
    <w:basedOn w:val="Domylnaczcionkaakapitu"/>
    <w:link w:val="Nagwek2"/>
    <w:uiPriority w:val="9"/>
    <w:rsid w:val="00DC45BB"/>
    <w:rPr>
      <w:rFonts w:ascii="Calibri" w:eastAsiaTheme="majorEastAsia" w:hAnsi="Calibri" w:cstheme="majorBidi"/>
      <w:b/>
      <w:color w:val="000000" w:themeColor="text1"/>
      <w:sz w:val="24"/>
      <w:szCs w:val="26"/>
    </w:rPr>
  </w:style>
  <w:style w:type="paragraph" w:styleId="Akapitzlist">
    <w:name w:val="List Paragraph"/>
    <w:aliases w:val="L1,Numerowanie,Akapit z listą siwz,Wypunktowanie,sw tekst,Bullet List,FooterText,numbered,Paragraphe de liste1,lp1,Preambuła,CP-UC,CP-Punkty,List - bullets,Equipment,Bullet 1,List Paragraph Char Char,b1,Figure_name,Ref,List Paragraph,Obie"/>
    <w:basedOn w:val="Normalny"/>
    <w:link w:val="AkapitzlistZnak"/>
    <w:uiPriority w:val="34"/>
    <w:qFormat/>
    <w:rsid w:val="00DC45BB"/>
    <w:pPr>
      <w:spacing w:line="252" w:lineRule="auto"/>
      <w:ind w:left="720"/>
      <w:contextualSpacing/>
    </w:pPr>
    <w:rPr>
      <w:rFonts w:ascii="Calibri" w:hAnsi="Calibri" w:cs="Calibri"/>
    </w:rPr>
  </w:style>
  <w:style w:type="character" w:customStyle="1" w:styleId="AkapitzlistZnak">
    <w:name w:val="Akapit z listą Znak"/>
    <w:aliases w:val="L1 Znak,Numerowanie Znak,Akapit z listą siwz Znak,Wypunktowanie Znak,sw tekst Znak,Bullet List Znak,FooterText Znak,numbered Znak,Paragraphe de liste1 Znak,lp1 Znak,Preambuła Znak,CP-UC Znak,CP-Punkty Znak,List - bullets Znak,b1 Znak"/>
    <w:link w:val="Akapitzlist"/>
    <w:uiPriority w:val="34"/>
    <w:qFormat/>
    <w:locked/>
    <w:rsid w:val="00DC45BB"/>
    <w:rPr>
      <w:rFonts w:ascii="Calibri" w:hAnsi="Calibri" w:cs="Calibri"/>
    </w:rPr>
  </w:style>
  <w:style w:type="paragraph" w:styleId="Bezodstpw">
    <w:name w:val="No Spacing"/>
    <w:uiPriority w:val="1"/>
    <w:qFormat/>
    <w:rsid w:val="00DC45BB"/>
    <w:pPr>
      <w:spacing w:after="0" w:line="240" w:lineRule="auto"/>
      <w:jc w:val="both"/>
    </w:pPr>
  </w:style>
  <w:style w:type="paragraph" w:styleId="Nagwek">
    <w:name w:val="header"/>
    <w:basedOn w:val="Normalny"/>
    <w:link w:val="NagwekZnak"/>
    <w:uiPriority w:val="99"/>
    <w:unhideWhenUsed/>
    <w:rsid w:val="00BE5A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5A8E"/>
  </w:style>
  <w:style w:type="paragraph" w:styleId="Stopka">
    <w:name w:val="footer"/>
    <w:basedOn w:val="Normalny"/>
    <w:link w:val="StopkaZnak"/>
    <w:uiPriority w:val="99"/>
    <w:unhideWhenUsed/>
    <w:rsid w:val="00BE5A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5A8E"/>
  </w:style>
  <w:style w:type="paragraph" w:styleId="NormalnyWeb">
    <w:name w:val="Normal (Web)"/>
    <w:basedOn w:val="Normalny"/>
    <w:uiPriority w:val="99"/>
    <w:semiHidden/>
    <w:unhideWhenUsed/>
    <w:rsid w:val="00BE5A8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8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1304</Words>
  <Characters>7829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informatyk@dalikow.eu</dc:creator>
  <cp:keywords/>
  <dc:description/>
  <cp:lastModifiedBy>informatyk@dalikow.eu</cp:lastModifiedBy>
  <cp:revision>8</cp:revision>
  <dcterms:created xsi:type="dcterms:W3CDTF">2026-01-23T12:34:00Z</dcterms:created>
  <dcterms:modified xsi:type="dcterms:W3CDTF">2026-02-16T11:49:00Z</dcterms:modified>
</cp:coreProperties>
</file>